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2"/>
        <w:gridCol w:w="3346"/>
      </w:tblGrid>
      <w:tr>
        <w:trPr>
          <w:trHeight w:val="400" w:hRule="atLeast"/>
        </w:trPr>
        <w:tc>
          <w:tcPr>
            <w:tcW w:w="100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様式第５－（ハ）－②</w:t>
      </w:r>
    </w:p>
    <w:tbl>
      <w:tblPr>
        <w:tblW w:w="10149"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10149"/>
      </w:tblGrid>
      <w:tr>
        <w:trPr>
          <w:trHeight w:val="6978" w:hRule="atLeast"/>
        </w:trPr>
        <w:tc>
          <w:tcPr>
            <w:tcW w:w="10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中小企業信用保険法第２条第５項第５号の規定による認定申請書（ハ－②）</w:t>
            </w:r>
          </w:p>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ind w:right="566" w:firstLine="21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（注２）の増加</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3306"/>
              <w:gridCol w:w="3306"/>
            </w:tblGrid>
            <w:tr>
              <w:trPr>
                <w:trHeight w:val="372" w:hRule="atLeast"/>
              </w:trPr>
              <w:tc>
                <w:tcPr>
                  <w:tcW w:w="3306"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306"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3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color="000000"/>
              </w:rPr>
              <w:t>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指定業種の月平均売上高営業利益率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全体の月平均売上高営業利益率</w:t>
            </w:r>
            <w:r>
              <w:rPr>
                <w:rFonts w:ascii="ＭＳ ゴシック" w:hAnsi="ＭＳ ゴシック" w:eastAsia="ＭＳ ゴシック"/>
                <w:color w:val="000000"/>
                <w:kern w:val="0"/>
                <w:u w:val="single" w:color="000000"/>
              </w:rPr>
              <w:t>　　　　  　　　　％</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750" w:hanging="540"/>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sz w:val="18"/>
          <w:szCs w:val="18"/>
        </w:rPr>
      </w:pPr>
      <w:r>
        <w:rPr>
          <w:rFonts w:ascii="ＭＳ ゴシック" w:hAnsi="ＭＳ ゴシック" w:eastAsia="ＭＳ ゴシック"/>
          <w:color w:val="000000"/>
          <w:kern w:val="0"/>
          <w:sz w:val="18"/>
          <w:szCs w:val="18"/>
        </w:rPr>
        <w:t>（注２）</w:t>
      </w:r>
      <w:r>
        <w:rPr>
          <w:rFonts w:ascii="ＭＳ ゴシック" w:hAnsi="ＭＳ ゴシック" w:eastAsia="ＭＳ ゴシック"/>
          <w:color w:val="000000"/>
          <w:kern w:val="0"/>
          <w:sz w:val="18"/>
          <w:szCs w:val="18"/>
          <w:u w:val="single"/>
        </w:rPr>
        <w:t>　　　　</w:t>
      </w:r>
      <w:r>
        <w:rPr>
          <w:rFonts w:ascii="ＭＳ ゴシック" w:hAnsi="ＭＳ ゴシック" w:eastAsia="ＭＳ ゴシック"/>
          <w:color w:val="000000"/>
          <w:kern w:val="0"/>
          <w:sz w:val="18"/>
          <w:szCs w:val="18"/>
        </w:rPr>
        <w:t>には、外的要因及び増加している費用を入れる。</w:t>
      </w:r>
    </w:p>
    <w:p>
      <w:pPr>
        <w:pStyle w:val="Normal"/>
        <w:suppressAutoHyphens w:val="true"/>
        <w:spacing w:lineRule="exact" w:line="240"/>
        <w:ind w:left="1412" w:hanging="123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（留意事項）</w:t>
      </w:r>
    </w:p>
    <w:p>
      <w:pPr>
        <w:pStyle w:val="ListParagraph"/>
        <w:numPr>
          <w:ilvl w:val="0"/>
          <w:numId w:val="1"/>
        </w:numPr>
        <w:suppressAutoHyphens w:val="true"/>
        <w:spacing w:lineRule="exact" w:line="240"/>
        <w:ind w:left="754" w:hanging="360"/>
        <w:jc w:val="left"/>
        <w:textAlignment w:val="baseline"/>
        <w:rPr>
          <w:rFonts w:ascii="ＭＳ ゴシック" w:hAnsi="ＭＳ ゴシック" w:eastAsia="ＭＳ ゴシック"/>
          <w:color w:val="000000"/>
          <w:spacing w:val="16"/>
          <w:kern w:val="0"/>
          <w:sz w:val="18"/>
          <w:szCs w:val="18"/>
        </w:rPr>
      </w:pPr>
      <w:r>
        <w:rPr>
          <w:rFonts w:ascii="ＭＳ ゴシック" w:hAnsi="ＭＳ ゴシック" w:eastAsia="ＭＳ ゴシック"/>
          <w:color w:val="000000"/>
          <w:kern w:val="0"/>
          <w:sz w:val="18"/>
          <w:szCs w:val="18"/>
        </w:rPr>
        <w:t>本認定とは別に、金融機関及び信用保証協会による金融上の審査があります。</w:t>
      </w:r>
    </w:p>
    <w:p>
      <w:pPr>
        <w:pStyle w:val="ListParagraph"/>
        <w:numPr>
          <w:ilvl w:val="0"/>
          <w:numId w:val="1"/>
        </w:numPr>
        <w:suppressAutoHyphens w:val="true"/>
        <w:spacing w:lineRule="exact" w:line="240"/>
        <w:ind w:left="754" w:hanging="360"/>
        <w:jc w:val="left"/>
        <w:textAlignment w:val="baseline"/>
        <w:rPr>
          <w:rFonts w:ascii="ＭＳ ゴシック" w:hAnsi="ＭＳ ゴシック" w:eastAsia="ＭＳ ゴシック"/>
          <w:sz w:val="18"/>
          <w:szCs w:val="18"/>
        </w:rPr>
      </w:pPr>
      <w:r>
        <w:rPr>
          <w:rFonts w:ascii="ＭＳ ゴシック" w:hAnsi="ＭＳ ゴシック" w:eastAsia="ＭＳ ゴシック"/>
          <w:color w:val="000000"/>
          <w:kern w:val="0"/>
          <w:sz w:val="18"/>
          <w:szCs w:val="18"/>
        </w:rPr>
        <w:t>市町村長又は特別区長から認定を受けた日から３０日以内に金融機関又は信用保証協会に対して、保証の申込みを行うことが必要です。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EA585C-EF72-486B-99B3-2D662ECB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796</Words>
  <Characters>799</Characters>
  <CharactersWithSpaces>1329</CharactersWithSpaces>
  <Paragraphs>37</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2025-07-10T10:57:37Z</dcterms:created>
  <dc:creator/>
  <dc:description/>
  <dc:language>ja-JP</dc:language>
  <cp:lastModifiedBy/>
  <dcterms:modified xsi:type="dcterms:W3CDTF">2025-07-10T10:57:40Z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