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400" w:hRule="atLeast"/>
        </w:trPr>
        <w:tc>
          <w:tcPr>
            <w:tcW w:w="991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305"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154" w:hRule="atLeast"/>
        </w:trPr>
        <w:tc>
          <w:tcPr>
            <w:tcW w:w="3306"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様式第５－（ロ）－②</w:t>
      </w:r>
    </w:p>
    <w:tbl>
      <w:tblPr>
        <w:tblW w:w="10035" w:type="dxa"/>
        <w:jc w:val="left"/>
        <w:tblInd w:w="-60" w:type="dxa"/>
        <w:tblLayout w:type="fixed"/>
        <w:tblCellMar>
          <w:top w:w="0" w:type="dxa"/>
          <w:left w:w="52" w:type="dxa"/>
          <w:bottom w:w="0" w:type="dxa"/>
          <w:right w:w="52" w:type="dxa"/>
        </w:tblCellMar>
        <w:tblLook w:firstRow="0" w:noVBand="0" w:lastRow="0" w:firstColumn="0" w:lastColumn="0" w:noHBand="0" w:val="0000"/>
      </w:tblPr>
      <w:tblGrid>
        <w:gridCol w:w="10035"/>
      </w:tblGrid>
      <w:tr>
        <w:trPr/>
        <w:tc>
          <w:tcPr>
            <w:tcW w:w="10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中小企業信用保険法第２条第５項第５号の規定による認定申請書（ロ－②）</w:t>
            </w:r>
          </w:p>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ind w:right="695"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ind w:right="487"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7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4"/>
              <w:gridCol w:w="3264"/>
              <w:gridCol w:w="3265"/>
            </w:tblGrid>
            <w:tr>
              <w:trPr>
                <w:trHeight w:val="366" w:hRule="atLeast"/>
              </w:trPr>
              <w:tc>
                <w:tcPr>
                  <w:tcW w:w="32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atLeast" w:line="274"/>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1" w:hRule="atLeast"/>
              </w:trPr>
              <w:tc>
                <w:tcPr>
                  <w:tcW w:w="32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auto" w:line="60"/>
              <w:ind w:right="487"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exact" w:line="12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ListParagraph"/>
              <w:widowControl w:val="false"/>
              <w:numPr>
                <w:ilvl w:val="0"/>
                <w:numId w:val="2"/>
              </w:numPr>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原油等の仕入単価の上昇（注２）</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Ｅ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指定業種に係る上昇率</w:t>
            </w:r>
            <w:r>
              <w:rPr>
                <w:rFonts w:eastAsia="ＭＳ ゴシック" w:ascii="ＭＳ ゴシック" w:hAnsi="ＭＳ ゴシック"/>
                <w:color w:val="000000"/>
                <w:kern w:val="0"/>
                <w:u w:val="single"/>
              </w:rPr>
              <w:softHyphen/>
              <w:softHyphen/>
            </w:r>
            <w:r>
              <w:rPr>
                <w:rFonts w:ascii="ＭＳ ゴシック" w:hAnsi="ＭＳ ゴシック" w:eastAsia="ＭＳ ゴシック"/>
                <w:color w:val="000000"/>
                <w:kern w:val="0"/>
                <w:u w:val="single"/>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ｅ  </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Ｅ：原油等の最近１か月間における平均仕入れ単価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true"/>
              <w:spacing w:lineRule="exact" w:line="240"/>
              <w:ind w:left="63"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ｅ：Ｅの期間に対応する前年１か月間の平均仕入れ単価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true"/>
              <w:spacing w:lineRule="exact" w:line="240"/>
              <w:ind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ListParagraph"/>
              <w:widowControl w:val="false"/>
              <w:numPr>
                <w:ilvl w:val="0"/>
                <w:numId w:val="2"/>
              </w:numPr>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原油等が売上原価に占める割合（注２）</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Ｓ</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true"/>
              <w:spacing w:lineRule="exact" w:line="240"/>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Ｃ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true"/>
              <w:spacing w:lineRule="exact" w:line="240"/>
              <w:ind w:left="182"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最近１か月間における全体の売上原価に占める指定業種の売上原価の割合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Ｃ：最近１か月の売上原価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指定業種に係る売上原価 </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　　　年　　　月）　　　　　　　　　　　　 </w:t>
            </w:r>
            <w:r>
              <w:rPr>
                <w:rFonts w:ascii="ＭＳ ゴシック" w:hAnsi="ＭＳ ゴシック" w:eastAsia="ＭＳ ゴシック"/>
                <w:color w:val="000000"/>
                <w:kern w:val="0"/>
                <w:u w:val="single"/>
              </w:rPr>
              <w:t>全体にかかる売上原価</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Ｓ：Ｃの売上原価に対応する原油等の仕入額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指定業種に係る仕入額</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全体に係る仕入額</w:t>
            </w:r>
            <w:r>
              <w:rPr>
                <w:rFonts w:ascii="ＭＳ ゴシック" w:hAnsi="ＭＳ ゴシック" w:eastAsia="ＭＳ ゴシック"/>
                <w:color w:val="000000"/>
                <w:kern w:val="0"/>
                <w:u w:val="single" w:color="000000"/>
              </w:rPr>
              <w:t>　　　　　　　　　　　　 円</w:t>
            </w:r>
          </w:p>
          <w:p>
            <w:pPr>
              <w:pStyle w:val="ListParagraph"/>
              <w:widowControl w:val="false"/>
              <w:numPr>
                <w:ilvl w:val="0"/>
                <w:numId w:val="2"/>
              </w:numPr>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製品等価格への転嫁の状況（注３）</w:t>
            </w:r>
          </w:p>
          <w:p>
            <w:pPr>
              <w:pStyle w:val="Normal"/>
              <w:widowControl w:val="false"/>
              <w:tabs>
                <w:tab w:val="clear" w:pos="840"/>
                <w:tab w:val="center" w:pos="4252" w:leader="none"/>
                <w:tab w:val="right" w:pos="8504" w:leader="none"/>
              </w:tabs>
              <w:suppressAutoHyphens w:val="true"/>
              <w:overflowPunct w:val="true"/>
              <w:snapToGrid w:val="false"/>
              <w:spacing w:lineRule="exact" w:line="230"/>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Ａ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指定業種に係る転嫁の状況　Ｐ＝　  　　　</w:t>
            </w:r>
          </w:p>
          <w:p>
            <w:pPr>
              <w:pStyle w:val="Normal"/>
              <w:widowControl w:val="false"/>
              <w:suppressAutoHyphens w:val="true"/>
              <w:overflowPunct w:val="tru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Ｂ　　    ｂ  　＝Ｐ   　　　　　　        </w:t>
            </w:r>
            <w:r>
              <w:rPr>
                <w:rFonts w:ascii="ＭＳ ゴシック" w:hAnsi="ＭＳ ゴシック" w:eastAsia="ＭＳ ゴシック"/>
                <w:color w:val="000000"/>
                <w:kern w:val="0"/>
                <w:u w:val="single"/>
              </w:rPr>
              <w:t>全体に係る転嫁の状況</w:t>
            </w:r>
            <w:r>
              <w:rPr>
                <w:rFonts w:ascii="ＭＳ ゴシック" w:hAnsi="ＭＳ ゴシック" w:eastAsia="ＭＳ ゴシック"/>
                <w:color w:val="000000"/>
                <w:kern w:val="0"/>
                <w:u w:val="single" w:color="000000"/>
              </w:rPr>
              <w:t>　Ｐ＝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Ａ：最近３か月間の原油等の仕入額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ａ：Ａの期間に対応する前年３か月間の原油等の仕入額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Ｂ：最近３か月間の売上高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指定業種に係る売上高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ｂ：Ｂの期間に対応する前年３か月間の売上高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指定業種に係る売上高</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tabs>
                <w:tab w:val="clear" w:pos="840"/>
                <w:tab w:val="center" w:pos="4252" w:leader="none"/>
                <w:tab w:val="right" w:pos="8504" w:leader="none"/>
              </w:tabs>
              <w:suppressAutoHyphens w:val="true"/>
              <w:overflowPunct w:val="true"/>
              <w:snapToGrid w:val="fals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Normal"/>
        <w:suppressAutoHyphens w:val="true"/>
        <w:spacing w:lineRule="exact" w:line="240"/>
        <w:ind w:left="18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rPr>
        <w:t>（注３）Ｐ＞０となっていること。</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rFonts w:ascii="ＭＳ ゴシック" w:hAnsi="ＭＳ ゴシック" w:eastAsia="ＭＳ ゴシック" w:cs="Times New Roman"/>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0D41E-CDE8-40D9-803F-3BE2EEB4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2</Pages>
  <Words>1136</Words>
  <Characters>1144</Characters>
  <CharactersWithSpaces>2078</CharactersWithSpaces>
  <Paragraphs>52</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2025-07-10T10:57:59Z</dcterms:created>
  <dc:creator/>
  <dc:description/>
  <dc:language>ja-JP</dc:language>
  <cp:lastModifiedBy/>
  <dcterms:modified xsi:type="dcterms:W3CDTF">2025-07-10T10:58:02Z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