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exact" w:line="240"/>
        <w:jc w:val="left"/>
        <w:textAlignment w:val="baseline"/>
        <w:rPr>
          <w:rFonts w:ascii="ＭＳ ゴシック" w:hAnsi="ＭＳ ゴシック" w:eastAsia="ＭＳ ゴシック"/>
          <w:color w:val="000000"/>
          <w:spacing w:val="16"/>
          <w:kern w:val="0"/>
          <w:sz w:val="18"/>
          <w:szCs w:val="18"/>
        </w:rPr>
      </w:pPr>
      <w:r>
        <w:rPr>
          <w:rFonts w:eastAsia="ＭＳ ゴシック" w:ascii="ＭＳ ゴシック" w:hAnsi="ＭＳ ゴシック"/>
          <w:color w:val="000000"/>
          <w:spacing w:val="16"/>
          <w:kern w:val="0"/>
          <w:sz w:val="18"/>
          <w:szCs w:val="18"/>
        </w:rPr>
      </w:r>
    </w:p>
    <w:tbl>
      <w:tblPr>
        <w:tblW w:w="99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3"/>
        <w:gridCol w:w="3343"/>
        <w:gridCol w:w="3276"/>
      </w:tblGrid>
      <w:tr>
        <w:trPr>
          <w:trHeight w:val="400" w:hRule="atLeast"/>
        </w:trPr>
        <w:tc>
          <w:tcPr>
            <w:tcW w:w="99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bookmarkStart w:id="0" w:name="_Hlk176367904"/>
            <w:bookmarkEnd w:id="0"/>
            <w:r>
              <w:rPr>
                <w:rFonts w:ascii="ＭＳ ゴシック" w:hAnsi="ＭＳ ゴシック" w:eastAsia="ＭＳ ゴシック"/>
              </w:rPr>
              <w:t>認定権者記載欄</w:t>
            </w:r>
          </w:p>
        </w:tc>
      </w:tr>
      <w:tr>
        <w:trPr>
          <w:trHeight w:val="305" w:hRule="atLeast"/>
        </w:trPr>
        <w:tc>
          <w:tcPr>
            <w:tcW w:w="334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2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154" w:hRule="atLeast"/>
        </w:trPr>
        <w:tc>
          <w:tcPr>
            <w:tcW w:w="334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2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bookmarkStart w:id="1" w:name="_Hlk176367904"/>
            <w:bookmarkStart w:id="2" w:name="_Hlk176367904"/>
            <w:bookmarkEnd w:id="2"/>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様式第５－（ロ）－①</w:t>
      </w:r>
    </w:p>
    <w:tbl>
      <w:tblPr>
        <w:tblW w:w="10035" w:type="dxa"/>
        <w:jc w:val="left"/>
        <w:tblInd w:w="-60" w:type="dxa"/>
        <w:tblLayout w:type="fixed"/>
        <w:tblCellMar>
          <w:top w:w="0" w:type="dxa"/>
          <w:left w:w="52" w:type="dxa"/>
          <w:bottom w:w="0" w:type="dxa"/>
          <w:right w:w="52" w:type="dxa"/>
        </w:tblCellMar>
        <w:tblLook w:firstRow="0" w:noVBand="0" w:lastRow="0" w:firstColumn="0" w:lastColumn="0" w:noHBand="0" w:val="0000"/>
      </w:tblPr>
      <w:tblGrid>
        <w:gridCol w:w="10035"/>
      </w:tblGrid>
      <w:tr>
        <w:trPr/>
        <w:tc>
          <w:tcPr>
            <w:tcW w:w="100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uto" w:line="60"/>
              <w:ind w:left="182" w:hanging="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true"/>
              <w:spacing w:lineRule="exact" w:line="24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中小企業信用保険法第２条第５項第５号の規定による認定申請書（ロ－①）</w:t>
            </w:r>
          </w:p>
          <w:p>
            <w:pPr>
              <w:pStyle w:val="Normal"/>
              <w:widowControl w:val="false"/>
              <w:suppressAutoHyphens w:val="true"/>
              <w:overflowPunct w:val="tru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exact" w:line="240"/>
              <w:ind w:right="695" w:hanging="0"/>
              <w:jc w:val="righ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tru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糸魚川市長 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申請者  </w:t>
            </w:r>
            <w:r>
              <w:rPr>
                <w:rFonts w:ascii="ＭＳ ゴシック" w:hAnsi="ＭＳ ゴシック" w:eastAsia="ＭＳ ゴシック"/>
                <w:color w:val="000000"/>
                <w:kern w:val="0"/>
                <w:u w:val="single" w:color="000000"/>
              </w:rPr>
              <w:t>住　所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sz w:val="14"/>
                <w:szCs w:val="14"/>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sz w:val="14"/>
                <w:szCs w:val="14"/>
              </w:rPr>
              <w:t>（名称及び代表者の氏名）</w:t>
            </w:r>
          </w:p>
          <w:p>
            <w:pPr>
              <w:pStyle w:val="Normal"/>
              <w:widowControl w:val="false"/>
              <w:suppressAutoHyphens w:val="true"/>
              <w:overflowPunct w:val="true"/>
              <w:spacing w:lineRule="exact" w:line="240"/>
              <w:ind w:firstLine="54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 xml:space="preserve">氏　名　　　　　　　　　　　　　   </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exact" w:line="240"/>
              <w:ind w:right="487"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Normal"/>
              <w:widowControl w:val="false"/>
              <w:suppressAutoHyphens w:val="true"/>
              <w:overflowPunct w:val="true"/>
              <w:spacing w:lineRule="exact" w:line="12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Closing"/>
              <w:widowControl w:val="false"/>
              <w:jc w:val="left"/>
              <w:rPr/>
            </w:pPr>
            <w:r>
              <w:rPr/>
              <w:t>（表</w:t>
            </w:r>
            <w:r>
              <w:rPr/>
              <w:t>)</w:t>
            </w:r>
          </w:p>
          <w:tbl>
            <w:tblPr>
              <w:tblW w:w="97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64"/>
              <w:gridCol w:w="3264"/>
              <w:gridCol w:w="3265"/>
            </w:tblGrid>
            <w:tr>
              <w:trPr>
                <w:trHeight w:val="366" w:hRule="atLeast"/>
              </w:trPr>
              <w:tc>
                <w:tcPr>
                  <w:tcW w:w="3264"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spacing w:lineRule="atLeast" w:line="274"/>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1" w:hRule="atLeast"/>
              </w:trPr>
              <w:tc>
                <w:tcPr>
                  <w:tcW w:w="3264"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true"/>
              <w:spacing w:lineRule="exact" w:line="240"/>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true"/>
              <w:spacing w:lineRule="exact" w:line="12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exact" w:line="240"/>
              <w:jc w:val="center"/>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true"/>
              <w:spacing w:lineRule="exact" w:line="240"/>
              <w:jc w:val="center"/>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lang w:eastAsia="zh-TW"/>
              </w:rPr>
              <w:t>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true"/>
              <w:spacing w:lineRule="exact" w:line="12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①</w:t>
            </w:r>
            <w:r>
              <w:rPr>
                <w:rFonts w:ascii="ＭＳ ゴシック" w:hAnsi="ＭＳ ゴシック" w:eastAsia="ＭＳ ゴシック"/>
                <w:color w:val="000000"/>
                <w:kern w:val="0"/>
              </w:rPr>
              <w:t>原油等の仕入単価の上昇（注２）</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u w:val="single" w:color="000000"/>
                <w:lang w:eastAsia="zh-TW"/>
              </w:rPr>
              <w:t xml:space="preserve">Ｅ </w:t>
            </w:r>
            <w:r>
              <w:rPr>
                <w:rFonts w:ascii="ＭＳ ゴシック" w:hAnsi="ＭＳ ゴシック" w:eastAsia="ＭＳ ゴシック"/>
                <w:color w:val="000000"/>
                <w:kern w:val="0"/>
                <w:lang w:eastAsia="zh-TW"/>
              </w:rPr>
              <w:t xml:space="preserve">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ｅ  </w:t>
            </w:r>
            <w:r>
              <w:rPr>
                <w:rFonts w:eastAsia="ＭＳ ゴシック" w:ascii="ＭＳ ゴシック" w:hAnsi="ＭＳ ゴシック"/>
                <w:color w:val="000000"/>
                <w:kern w:val="0"/>
                <w:lang w:eastAsia="zh-TW"/>
              </w:rPr>
              <w:t>×100</w:t>
            </w:r>
            <w:r>
              <w:rPr>
                <w:rFonts w:ascii="ＭＳ ゴシック" w:hAnsi="ＭＳ ゴシック" w:eastAsia="ＭＳ ゴシック"/>
                <w:color w:val="000000"/>
                <w:kern w:val="0"/>
                <w:lang w:eastAsia="zh-TW"/>
              </w:rPr>
              <w:t>－</w:t>
            </w:r>
            <w:r>
              <w:rPr>
                <w:rFonts w:eastAsia="ＭＳ ゴシック" w:ascii="ＭＳ ゴシック" w:hAnsi="ＭＳ ゴシック"/>
                <w:color w:val="000000"/>
                <w:kern w:val="0"/>
                <w:lang w:eastAsia="zh-TW"/>
              </w:rPr>
              <w:t>100</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上昇率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 xml:space="preserve">Ｅ：原油等の最近１か月間における平均仕入れ単価（　　　年　　　月） </w:t>
            </w:r>
            <w:r>
              <w:rPr>
                <w:rFonts w:ascii="ＭＳ ゴシック" w:hAnsi="ＭＳ ゴシック" w:eastAsia="ＭＳ ゴシック"/>
                <w:color w:val="000000"/>
                <w:spacing w:val="16"/>
                <w:kern w:val="0"/>
              </w:rPr>
              <w:t>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ｅ：Ｅの期間に対応する前年１か月間の平均仕入れ単価（ 　　年 　　月）</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xml:space="preserve">            円（注４）</w:t>
            </w:r>
          </w:p>
          <w:p>
            <w:pPr>
              <w:pStyle w:val="Normal"/>
              <w:widowControl w:val="false"/>
              <w:suppressAutoHyphens w:val="true"/>
              <w:overflowPunct w:val="true"/>
              <w:spacing w:lineRule="exact"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②</w:t>
            </w:r>
            <w:r>
              <w:rPr>
                <w:rFonts w:ascii="ＭＳ ゴシック" w:hAnsi="ＭＳ ゴシック" w:eastAsia="ＭＳ ゴシック"/>
                <w:color w:val="000000"/>
                <w:kern w:val="0"/>
              </w:rPr>
              <w:t>原油等が売上原価に占める割合（注２）</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Ｓ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Ｃ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依存率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Ｃ：最近１か月の売上原価（　　　　年　　　月</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Ｓ：Ｃの売上原価に対応する原油等の仕入額</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③</w:t>
            </w:r>
            <w:r>
              <w:rPr>
                <w:rFonts w:ascii="ＭＳ ゴシック" w:hAnsi="ＭＳ ゴシック" w:eastAsia="ＭＳ ゴシック"/>
                <w:color w:val="000000"/>
                <w:kern w:val="0"/>
              </w:rPr>
              <w:t>製品等価格への転嫁の状況（注３）</w:t>
            </w:r>
          </w:p>
          <w:p>
            <w:pPr>
              <w:pStyle w:val="Normal"/>
              <w:widowControl w:val="false"/>
              <w:suppressAutoHyphens w:val="true"/>
              <w:overflowPunct w:val="true"/>
              <w:spacing w:lineRule="exact" w:line="230"/>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u w:val="single" w:color="000000"/>
              </w:rPr>
              <w:t xml:space="preserve">Ａ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xml:space="preserve"> ａ </w:t>
            </w:r>
            <w:r>
              <w:rPr>
                <w:rFonts w:ascii="ＭＳ ゴシック" w:hAnsi="ＭＳ ゴシック" w:eastAsia="ＭＳ ゴシック"/>
                <w:color w:val="000000"/>
                <w:kern w:val="0"/>
              </w:rPr>
              <w:t>　　　　　　</w:t>
            </w:r>
          </w:p>
          <w:p>
            <w:pPr>
              <w:pStyle w:val="Normal"/>
              <w:widowControl w:val="false"/>
              <w:suppressAutoHyphens w:val="true"/>
              <w:overflowPunct w:val="true"/>
              <w:spacing w:lineRule="exact" w:line="230"/>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Ｂ　　    ｂ  　＝Ｐ   　　　　　　     　　</w:t>
            </w:r>
            <w:r>
              <w:rPr>
                <w:rFonts w:ascii="ＭＳ ゴシック" w:hAnsi="ＭＳ ゴシック" w:eastAsia="ＭＳ ゴシック"/>
                <w:color w:val="000000"/>
                <w:kern w:val="0"/>
                <w:u w:val="single" w:color="000000"/>
              </w:rPr>
              <w:t xml:space="preserve"> Ｐ＝ 　　　 　　　　　</w:t>
            </w:r>
          </w:p>
          <w:p>
            <w:pPr>
              <w:pStyle w:val="Normal"/>
              <w:widowControl w:val="false"/>
              <w:suppressAutoHyphens w:val="true"/>
              <w:overflowPunct w:val="true"/>
              <w:spacing w:lineRule="exact" w:line="240"/>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Ａ：最近３か月間の原油等の仕入額</w:t>
            </w:r>
          </w:p>
          <w:p>
            <w:pPr>
              <w:pStyle w:val="Normal"/>
              <w:widowControl w:val="false"/>
              <w:suppressAutoHyphens w:val="true"/>
              <w:overflowPunct w:val="true"/>
              <w:spacing w:lineRule="exact" w:line="240"/>
              <w:ind w:firstLine="6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true"/>
              <w:spacing w:lineRule="exact" w:line="240"/>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ａ：Ａの期間に対応する前年３か月間の原油等の仕入額</w:t>
            </w:r>
          </w:p>
          <w:p>
            <w:pPr>
              <w:pStyle w:val="Normal"/>
              <w:widowControl w:val="false"/>
              <w:suppressAutoHyphens w:val="true"/>
              <w:overflowPunct w:val="true"/>
              <w:spacing w:lineRule="exact" w:line="240"/>
              <w:ind w:firstLine="6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　</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true"/>
              <w:spacing w:lineRule="exact" w:line="240"/>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Ｂ：最近３か月間の売上高　</w:t>
            </w:r>
          </w:p>
          <w:p>
            <w:pPr>
              <w:pStyle w:val="Normal"/>
              <w:widowControl w:val="false"/>
              <w:suppressAutoHyphens w:val="true"/>
              <w:overflowPunct w:val="true"/>
              <w:spacing w:lineRule="exact" w:line="240"/>
              <w:ind w:firstLine="6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円（注４）</w:t>
            </w:r>
          </w:p>
          <w:p>
            <w:pPr>
              <w:pStyle w:val="Normal"/>
              <w:widowControl w:val="false"/>
              <w:suppressAutoHyphens w:val="true"/>
              <w:overflowPunct w:val="true"/>
              <w:spacing w:lineRule="exact" w:line="240"/>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ｂ：Ｂの期間に対応する前年３か月間の売上高</w:t>
            </w:r>
          </w:p>
          <w:p>
            <w:pPr>
              <w:pStyle w:val="Normal"/>
              <w:widowControl w:val="false"/>
              <w:suppressAutoHyphens w:val="true"/>
              <w:overflowPunct w:val="true"/>
              <w:spacing w:lineRule="exact" w:line="240"/>
              <w:ind w:firstLine="63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spacing w:val="16"/>
                <w:kern w:val="0"/>
              </w:rPr>
              <w:t xml:space="preserve"> 　</w:t>
            </w:r>
            <w:r>
              <w:rPr>
                <w:rFonts w:ascii="ＭＳ ゴシック" w:hAnsi="ＭＳ ゴシック" w:eastAsia="ＭＳ ゴシック"/>
                <w:color w:val="000000"/>
                <w:kern w:val="0"/>
                <w:u w:val="single" w:color="000000"/>
              </w:rPr>
              <w:t xml:space="preserve">                  円（注４）</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「商第　　　　　号」</w:t>
            </w:r>
          </w:p>
          <w:p>
            <w:pPr>
              <w:pStyle w:val="Normal"/>
              <w:widowControl w:val="false"/>
              <w:suppressAutoHyphens w:val="true"/>
              <w:overflowPunct w:val="tru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tru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ind w:firstLine="5460"/>
              <w:rPr>
                <w:rFonts w:ascii="ＭＳ ゴシック" w:hAnsi="ＭＳ ゴシック" w:eastAsia="ＭＳ ゴシック"/>
                <w:sz w:val="24"/>
              </w:rPr>
            </w:pPr>
            <w:r>
              <w:rPr>
                <w:rFonts w:ascii="ＭＳ 明朝" w:hAnsi="ＭＳ 明朝"/>
                <w:szCs w:val="21"/>
              </w:rPr>
              <w:t>糸魚川市長　　久保田　郁夫　</w:t>
            </w:r>
            <w:r>
              <w:rPr>
                <w:rFonts w:ascii="ＭＳ 明朝" w:hAnsi="ＭＳ 明朝"/>
                <w:color w:val="808080"/>
                <w:szCs w:val="21"/>
              </w:rPr>
              <w:t>　</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3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（注２）上昇率及び依存率が２０％以上となっていること。</w:t>
      </w:r>
    </w:p>
    <w:p>
      <w:pPr>
        <w:pStyle w:val="Normal"/>
        <w:suppressAutoHyphens w:val="true"/>
        <w:spacing w:lineRule="exact" w:line="230"/>
        <w:ind w:left="738" w:hanging="738"/>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（注３）Ｐ＞０となっていること。</w:t>
      </w:r>
    </w:p>
    <w:p>
      <w:pPr>
        <w:pStyle w:val="Normal"/>
        <w:suppressAutoHyphens w:val="true"/>
        <w:spacing w:lineRule="exact" w:line="230"/>
        <w:ind w:left="738" w:hanging="738"/>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（注４）申請者全体の値を記載。</w:t>
      </w:r>
    </w:p>
    <w:p>
      <w:pPr>
        <w:pStyle w:val="Normal"/>
        <w:suppressAutoHyphens w:val="true"/>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ind w:left="570" w:right="210" w:hanging="3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ind w:left="570" w:right="210" w:hanging="3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30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w:t>
      </w:r>
    </w:p>
    <w:sectPr>
      <w:footerReference w:type="default" r:id="rId2"/>
      <w:type w:val="nextPage"/>
      <w:pgSz w:w="11906" w:h="16838"/>
      <w:pgMar w:left="1134" w:right="1134" w:gutter="0" w:header="0" w:top="1134" w:footer="51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r>
  </w:p>
  <w:p>
    <w:pPr>
      <w:pStyle w:val="Style28"/>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8d5"/>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7" w:customStyle="1">
    <w:name w:val="ヘッダー (文字)"/>
    <w:qFormat/>
    <w:locked/>
    <w:rsid w:val="00d37176"/>
    <w:rPr>
      <w:kern w:val="2"/>
      <w:sz w:val="21"/>
      <w:szCs w:val="24"/>
    </w:rPr>
  </w:style>
  <w:style w:type="character" w:styleId="Style8" w:customStyle="1">
    <w:name w:val="フッター (文字)"/>
    <w:uiPriority w:val="99"/>
    <w:qFormat/>
    <w:locked/>
    <w:rsid w:val="00d37176"/>
    <w:rPr>
      <w:kern w:val="2"/>
      <w:sz w:val="21"/>
      <w:szCs w:val="24"/>
    </w:rPr>
  </w:style>
  <w:style w:type="character" w:styleId="Style9" w:customStyle="1">
    <w:name w:val="日付 (文字)"/>
    <w:link w:val="Date"/>
    <w:qFormat/>
    <w:rsid w:val="00982d6c"/>
    <w:rPr>
      <w:kern w:val="2"/>
      <w:sz w:val="21"/>
      <w:szCs w:val="24"/>
    </w:rPr>
  </w:style>
  <w:style w:type="character" w:styleId="Style10" w:customStyle="1">
    <w:name w:val="書式なし (文字)"/>
    <w:link w:val="PlainText"/>
    <w:qFormat/>
    <w:rsid w:val="004676c1"/>
    <w:rPr>
      <w:rFonts w:ascii="ＭＳ ゴシック" w:hAnsi="ＭＳ ゴシック" w:eastAsia="ＭＳ ゴシック" w:cs="Courier New"/>
      <w:kern w:val="2"/>
      <w:szCs w:val="21"/>
    </w:rPr>
  </w:style>
  <w:style w:type="character" w:styleId="Style11" w:customStyle="1">
    <w:name w:val="コメント文字列 (文字)"/>
    <w:basedOn w:val="DefaultParagraphFont"/>
    <w:link w:val="Annotationtext"/>
    <w:qFormat/>
    <w:rsid w:val="00be7acf"/>
    <w:rPr>
      <w:kern w:val="2"/>
      <w:sz w:val="21"/>
      <w:szCs w:val="24"/>
    </w:rPr>
  </w:style>
  <w:style w:type="character" w:styleId="Style12"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3"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4"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15" w:customStyle="1">
    <w:name w:val="コメント内容 (文字)"/>
    <w:basedOn w:val="Style11"/>
    <w:link w:val="Annotationsubject"/>
    <w:qFormat/>
    <w:rsid w:val="000f6d83"/>
    <w:rPr>
      <w:b/>
      <w:bCs/>
      <w:kern w:val="2"/>
      <w:sz w:val="21"/>
      <w:szCs w:val="24"/>
    </w:rPr>
  </w:style>
  <w:style w:type="character" w:styleId="Style16">
    <w:name w:val="脚注番号"/>
    <w:basedOn w:val="DefaultParagraphFont"/>
    <w:semiHidden/>
    <w:qFormat/>
    <w:rsid w:val="000f6d83"/>
    <w:rPr>
      <w:vertAlign w:val="superscript"/>
    </w:rPr>
  </w:style>
  <w:style w:type="character" w:styleId="Style17">
    <w:name w:val="Footnote Reference"/>
    <w:rPr>
      <w:vertAlign w:val="superscript"/>
    </w:rPr>
  </w:style>
  <w:style w:type="character" w:styleId="Style18">
    <w:name w:val="文末脚注番号"/>
    <w:basedOn w:val="DefaultParagraphFont"/>
    <w:semiHidden/>
    <w:qFormat/>
    <w:rsid w:val="000f6d83"/>
    <w:rPr>
      <w:vertAlign w:val="superscript"/>
    </w:rPr>
  </w:style>
  <w:style w:type="character" w:styleId="Style19">
    <w:name w:val="Endnote Reference"/>
    <w:rPr>
      <w:vertAlign w:val="superscript"/>
    </w:rPr>
  </w:style>
  <w:style w:type="character" w:styleId="P" w:customStyle="1">
    <w:name w:val="p"/>
    <w:basedOn w:val="DefaultParagraphFont"/>
    <w:qFormat/>
    <w:rsid w:val="000f6d83"/>
    <w:rPr/>
  </w:style>
  <w:style w:type="character" w:styleId="Style20">
    <w:name w:val="Hyperlink"/>
    <w:basedOn w:val="DefaultParagraphFont"/>
    <w:unhideWhenUsed/>
    <w:rsid w:val="009b1432"/>
    <w:rPr>
      <w:color w:val="0000FF" w:themeColor="hyperlink"/>
      <w:u w:val="single"/>
    </w:rPr>
  </w:style>
  <w:style w:type="character" w:styleId="12" w:customStyle="1">
    <w:name w:val="未解決のメンション1"/>
    <w:basedOn w:val="DefaultParagraphFont"/>
    <w:uiPriority w:val="99"/>
    <w:semiHidden/>
    <w:unhideWhenUsed/>
    <w:qFormat/>
    <w:rsid w:val="009b1432"/>
    <w:rPr>
      <w:color w:val="605E5C"/>
      <w:shd w:fill="E1DFDD" w:val="clear"/>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BalloonText">
    <w:name w:val="Balloon Text"/>
    <w:basedOn w:val="Normal"/>
    <w:link w:val="Style14"/>
    <w:semiHidden/>
    <w:qFormat/>
    <w:rsid w:val="00461cee"/>
    <w:pPr/>
    <w:rPr>
      <w:rFonts w:ascii="Arial" w:hAnsi="Arial" w:eastAsia="ＭＳ ゴシック"/>
      <w:sz w:val="18"/>
      <w:szCs w:val="18"/>
    </w:rPr>
  </w:style>
  <w:style w:type="paragraph" w:styleId="Style26">
    <w:name w:val="ヘッダーとフッター"/>
    <w:basedOn w:val="Normal"/>
    <w:qFormat/>
    <w:pPr/>
    <w:rPr/>
  </w:style>
  <w:style w:type="paragraph" w:styleId="Style27">
    <w:name w:val="Header"/>
    <w:basedOn w:val="Normal"/>
    <w:link w:val="Style7"/>
    <w:rsid w:val="0027155c"/>
    <w:pPr>
      <w:tabs>
        <w:tab w:val="clear" w:pos="840"/>
        <w:tab w:val="center" w:pos="4252" w:leader="none"/>
        <w:tab w:val="right" w:pos="8504" w:leader="none"/>
      </w:tabs>
      <w:snapToGrid w:val="false"/>
    </w:pPr>
    <w:rPr/>
  </w:style>
  <w:style w:type="paragraph" w:styleId="Style28">
    <w:name w:val="Footer"/>
    <w:basedOn w:val="Normal"/>
    <w:link w:val="Style8"/>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1"/>
    <w:semiHidden/>
    <w:qFormat/>
    <w:rsid w:val="0022657e"/>
    <w:pPr>
      <w:jc w:val="left"/>
    </w:pPr>
    <w:rPr/>
  </w:style>
  <w:style w:type="paragraph" w:styleId="Annotationsubject">
    <w:name w:val="annotation subject"/>
    <w:basedOn w:val="Annotationtext"/>
    <w:next w:val="Annotationtext"/>
    <w:link w:val="Style15"/>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9"/>
    <w:qFormat/>
    <w:rsid w:val="00982d6c"/>
    <w:pPr/>
    <w:rPr/>
  </w:style>
  <w:style w:type="paragraph" w:styleId="PlainText">
    <w:name w:val="Plain Text"/>
    <w:basedOn w:val="Normal"/>
    <w:link w:val="Style10"/>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2"/>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3"/>
    <w:qFormat/>
    <w:rsid w:val="0002103d"/>
    <w:pPr>
      <w:jc w:val="right"/>
    </w:pPr>
    <w:rPr>
      <w:rFonts w:ascii="ＭＳ ゴシック" w:hAnsi="ＭＳ ゴシック" w:eastAsia="ＭＳ ゴシック" w:cs="ＭＳ ゴシック"/>
      <w:color w:val="000000"/>
      <w:kern w:val="0"/>
      <w:szCs w:val="21"/>
    </w:rPr>
  </w:style>
  <w:style w:type="paragraph" w:styleId="Style29">
    <w:name w:val="Index Heading"/>
    <w:basedOn w:val="Style21"/>
    <w:pPr/>
    <w:rPr/>
  </w:style>
  <w:style w:type="paragraph" w:styleId="Style30">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0D41E-CDE8-40D9-803F-3BE2EEB4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2</Pages>
  <Words>937</Words>
  <Characters>945</Characters>
  <CharactersWithSpaces>2893</CharactersWithSpaces>
  <Paragraphs>49</Paragraphs>
  <Company>METI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2025-07-10T10:57:48Z</dcterms:created>
  <dc:creator/>
  <dc:description/>
  <dc:language>ja-JP</dc:language>
  <cp:lastModifiedBy/>
  <dcterms:modified xsi:type="dcterms:W3CDTF">2025-07-10T10:57:51Z</dcterms:modified>
  <cp:revision>2</cp:revision>
  <dc:subject/>
  <dc:title>181128_ＳＮ照会回答事例集（案）ｒｒ.docx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